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8.0" w:type="dxa"/>
        <w:jc w:val="left"/>
        <w:tblInd w:w="0.0" w:type="dxa"/>
        <w:tblLayout w:type="fixed"/>
        <w:tblLook w:val="0000"/>
      </w:tblPr>
      <w:tblGrid>
        <w:gridCol w:w="2843"/>
        <w:gridCol w:w="2843"/>
        <w:gridCol w:w="2842"/>
        <w:tblGridChange w:id="0">
          <w:tblGrid>
            <w:gridCol w:w="2843"/>
            <w:gridCol w:w="2843"/>
            <w:gridCol w:w="2842"/>
          </w:tblGrid>
        </w:tblGridChange>
      </w:tblGrid>
      <w:tr>
        <w:trPr>
          <w:cantSplit w:val="0"/>
          <w:trHeight w:val="66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0" w:line="216" w:lineRule="auto"/>
              <w:ind w:left="-625" w:right="-567" w:firstLine="0"/>
              <w:jc w:val="center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  <w:drawing>
                <wp:inline distB="0" distT="0" distL="114300" distR="114300">
                  <wp:extent cx="618490" cy="664845"/>
                  <wp:effectExtent b="0" l="0" r="0" t="0"/>
                  <wp:docPr descr="Description: univ.tif" id="1027" name="image2.png"/>
                  <a:graphic>
                    <a:graphicData uri="http://schemas.openxmlformats.org/drawingml/2006/picture">
                      <pic:pic>
                        <pic:nvPicPr>
                          <pic:cNvPr descr="Description: univ.tif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16" w:lineRule="auto"/>
              <w:ind w:left="-625" w:right="-567" w:firstLine="0"/>
              <w:jc w:val="center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0"/>
              </w:rPr>
              <w:t xml:space="preserve">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16" w:lineRule="auto"/>
              <w:ind w:left="-625" w:right="-567" w:firstLine="0"/>
              <w:jc w:val="center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  <w:drawing>
                <wp:inline distB="0" distT="0" distL="114300" distR="114300">
                  <wp:extent cx="1167765" cy="788035"/>
                  <wp:effectExtent b="0" l="0" r="0" t="0"/>
                  <wp:docPr descr="Description: H:\لوجو الكلية الجديد.jpg" id="1028" name="image1.jpg"/>
                  <a:graphic>
                    <a:graphicData uri="http://schemas.openxmlformats.org/drawingml/2006/picture">
                      <pic:pic>
                        <pic:nvPicPr>
                          <pic:cNvPr descr="Description: H:\لوجو الكلية الجديد.jpg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7880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625" w:right="-567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bidi w:val="1"/>
        <w:spacing w:after="0" w:before="0" w:line="240" w:lineRule="auto"/>
        <w:ind w:left="-625" w:right="-567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625" w:right="-567" w:firstLine="0"/>
        <w:jc w:val="center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625" w:right="-567" w:firstLine="0"/>
        <w:jc w:val="center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Brief CV (of the members of the academic staff)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Name: Hayat Bader Qurany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  Academic Department: Public Relation and Advertising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Academic degree: Teacher.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title of the master’s thesis, the year and the entity it was obtained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 Means of International Media and Conversation Management between Civilizations,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The title of the doctoral thesis the year and the entity it was obtained from: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625" w:right="-567" w:firstLine="0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br w:type="textWrapping"/>
        <w:t xml:space="preserve">The Evaluation of Media Diversity Standards in Egyptian Means of Media, 2018. </w:t>
      </w:r>
    </w:p>
    <w:p w:rsidR="00000000" w:rsidDel="00000000" w:rsidP="00000000" w:rsidRDefault="00000000" w:rsidRPr="00000000" w14:paraId="00000010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Courses taught in the Bachelor 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 Translation 1, PR writing, media literacy, media and society, business communication.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most important reference books issued by the faculty member to benefit from his scientific research (a maximum of five books):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None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The five most recent academic researches that have been published: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1- Evaluating the digital education skills among the students of Mass Communication faculties within the experiment of remote learning.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2- Islam and west a semantic analysis on Christchurch attack.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3- Communicating nation branding through media and marketing strategies : a second analysis review.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The most recent five scientific theses (Master's and Ph.D.) that have been supervised: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Lama Atef thesis:  Advertising literacy on Instagram.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Mennah Ahmed thesis: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E-commerce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 on social media.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Rahma Mohammed thesis: guerrilla marketing strategies in Egypt.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Other activities of the member of the academic staff in order to develop the educational process and serve students other than the teaching activity: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Training Coordinator in the department of Public relations and Advertising and in the English division.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most important leading positions that have been held: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The manager of the Electronic Learning Unit.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Member of the Board of Directors of the Faculty of Mass Communication Marketing Agency.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Postgraduate Standard Coordinator, Quality Unit.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The secretary of Public relations and Advertising magazine.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The most important local and international awards obtained, the year when awarded and the entity awarded them: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Amman University award for the best developmental graduation project on e-learning, second place,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Media and Digital Transformation Foundation Award for Graduation Projects,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Shrook Festival Award for Essiwan Graduation Project, 2021.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Mobile: 01009722206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625" w:right="-567" w:firstLine="0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email address:hayatmoatasem1984@gmail.com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H35wXq83mzuLSEiugAgYjO5puw==">AMUW2mUvfPdWj3if1uCL4l591x+96kyw3sdYS8pJ7XQYjT1gnotXs2Jtd9+GfwHNA73dkTpeeVZzyicuxYhREVszq+U1ghB4zbGJ0ynVSWYNDP7hC4X7LWg=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2021-10-24T07:43:00Z</dcterms:created>
  <dc:creator>Salma</dc:creator>
</cp:coreProperties>
</file>